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D2" w:rsidRDefault="004217D2" w:rsidP="004217D2">
      <w:pPr>
        <w:pStyle w:val="Heading2"/>
      </w:pPr>
      <w:r>
        <w:t>Hedging Political Risk in China</w:t>
      </w:r>
    </w:p>
    <w:p w:rsidR="004217D2" w:rsidRDefault="004217D2" w:rsidP="004217D2">
      <w:pPr>
        <w:bidi w:val="0"/>
      </w:pPr>
      <w:proofErr w:type="gramStart"/>
      <w:r>
        <w:t>by</w:t>
      </w:r>
      <w:proofErr w:type="gramEnd"/>
      <w:r>
        <w:t xml:space="preserve"> </w:t>
      </w:r>
      <w:hyperlink r:id="rId5" w:history="1">
        <w:r>
          <w:rPr>
            <w:rStyle w:val="Hyperlink"/>
          </w:rPr>
          <w:t xml:space="preserve">Ian </w:t>
        </w:r>
        <w:proofErr w:type="spellStart"/>
        <w:r>
          <w:rPr>
            <w:rStyle w:val="Hyperlink"/>
          </w:rPr>
          <w:t>Bremmer</w:t>
        </w:r>
        <w:proofErr w:type="spellEnd"/>
      </w:hyperlink>
      <w:r>
        <w:t xml:space="preserve"> and </w:t>
      </w:r>
      <w:hyperlink r:id="rId6" w:history="1">
        <w:proofErr w:type="spellStart"/>
        <w:r>
          <w:rPr>
            <w:rStyle w:val="Hyperlink"/>
          </w:rPr>
          <w:t>Fareed</w:t>
        </w:r>
        <w:proofErr w:type="spellEnd"/>
        <w:r>
          <w:rPr>
            <w:rStyle w:val="Hyperlink"/>
          </w:rPr>
          <w:t xml:space="preserve"> </w:t>
        </w:r>
        <w:proofErr w:type="spellStart"/>
        <w:r>
          <w:rPr>
            <w:rStyle w:val="Hyperlink"/>
          </w:rPr>
          <w:t>Zakaria</w:t>
        </w:r>
        <w:proofErr w:type="spellEnd"/>
      </w:hyperlink>
      <w:r>
        <w:t xml:space="preserve"> </w:t>
      </w:r>
    </w:p>
    <w:p w:rsidR="004217D2" w:rsidRDefault="004217D2" w:rsidP="004217D2">
      <w:pPr>
        <w:pStyle w:val="Heading3"/>
      </w:pPr>
      <w:hyperlink r:id="rId7" w:history="1">
        <w:r>
          <w:rPr>
            <w:rStyle w:val="Hyperlink"/>
          </w:rPr>
          <w:t>Executive Summary</w:t>
        </w:r>
      </w:hyperlink>
      <w:r>
        <w:t xml:space="preserve"> </w:t>
      </w:r>
    </w:p>
    <w:p w:rsidR="004217D2" w:rsidRDefault="004217D2" w:rsidP="004217D2">
      <w:pPr>
        <w:pStyle w:val="NormalWeb"/>
      </w:pPr>
      <w:hyperlink r:id="rId8" w:history="1">
        <w:r w:rsidRPr="00F44C5D">
          <w:rPr>
            <w:rStyle w:val="Hyperlink"/>
          </w:rPr>
          <w:t>http://hbr.org/2006/11/hedging-political-risk-in-china/ar/1</w:t>
        </w:r>
      </w:hyperlink>
    </w:p>
    <w:p w:rsidR="004217D2" w:rsidRDefault="004217D2" w:rsidP="004217D2">
      <w:pPr>
        <w:pStyle w:val="NormalWeb"/>
      </w:pPr>
      <w:r>
        <w:t>No investment destination better illustrates the importance of managing political risk than China. Over the past 25 years, the Chinese Communist Party’s economic reforms have opened the gates to vast flows of foreign investment, generated almost miraculous growth, lifted hundreds of millions of people out of poverty, and propelled Chinese companies onto the global stage. But the country’s economy and the foreign companies that depend on its vitality are especially vulnerable to external shocks, such as spikes in global commodity prices (particularly energy), epidemics, regional political unrest, and protectionist sentiment in the Western world. Domestic political unrest also poses risks: Rapid growth; the dislocation of tens of millions of people as state-owned companies have shed workers; public anger over land redistribution; widening wealth gaps; and major industrial accidents, including toxic spills, have all fueled social instability. This volatility has the potential to force sweeping governmental action, such as large-scale social spending or systemic crackdowns; disrupt supply chains; endanger fixed assets; and erode investor confidence.</w:t>
      </w:r>
    </w:p>
    <w:p w:rsidR="004217D2" w:rsidRDefault="004217D2" w:rsidP="004217D2">
      <w:pPr>
        <w:pStyle w:val="NormalWeb"/>
      </w:pPr>
      <w:r>
        <w:t>These shocks aside, foreign firms in China operate in an uncertain, politically influenced investment climate. Local Chinese competitors are often better able to navigate the country’s labyrinthine business environment. Legal protections are poorly enforced. Copyrights are inconsistently protected. The financial system is murky and favors state-owned entities, which, despite all the private-sector growth, still make up 40% of China’s economic activity, according to the OECD. (Consider that the Shanghai stock market has declined even as the country’s economy has grown 9% annually.) And there’s always the threat of retaliatory protectionist policies that would favor Chinese companies at the expense of foreign ones.</w:t>
      </w:r>
    </w:p>
    <w:p w:rsidR="004217D2" w:rsidRDefault="004217D2" w:rsidP="004217D2">
      <w:pPr>
        <w:pStyle w:val="NormalWeb"/>
      </w:pPr>
      <w:r>
        <w:t>In addition, foreign corporations in China face reputational risks in their home countries. Just as Google, Microsoft, and Yahoo have been sharply criticized in the United States for allowing (in some cases, helping) the Chinese government to manipulate consumer use of the Internet, other firms may find themselves accused of contributing to unfair labor practices or unsafe environmental conditions.</w:t>
      </w:r>
    </w:p>
    <w:p w:rsidR="004217D2" w:rsidRDefault="004217D2" w:rsidP="004217D2">
      <w:pPr>
        <w:pStyle w:val="NormalWeb"/>
      </w:pPr>
      <w:r>
        <w:t>We have seen many companies make the costly mistake of not managing political risks—a mistake that can be avoided.</w:t>
      </w:r>
    </w:p>
    <w:p w:rsidR="004217D2" w:rsidRDefault="004217D2" w:rsidP="004217D2">
      <w:pPr>
        <w:pStyle w:val="NormalWeb"/>
      </w:pPr>
      <w:r>
        <w:rPr>
          <w:rStyle w:val="ahead"/>
        </w:rPr>
        <w:t>How to Hedge</w:t>
      </w:r>
      <w:r>
        <w:t xml:space="preserve"> </w:t>
      </w:r>
    </w:p>
    <w:p w:rsidR="004217D2" w:rsidRDefault="004217D2" w:rsidP="004217D2">
      <w:pPr>
        <w:pStyle w:val="NormalWeb"/>
      </w:pPr>
      <w:r>
        <w:t xml:space="preserve">How can foreign companies and investors in China hedge these risks? To start, there are three things they should </w:t>
      </w:r>
      <w:r>
        <w:rPr>
          <w:rStyle w:val="bodyitalic"/>
        </w:rPr>
        <w:t>not</w:t>
      </w:r>
      <w:r>
        <w:t xml:space="preserve"> do. They should not allow the sheer size of China’s market to seduce them into ignoring the challenges that come with it; they should not assume that the risks are too difficult to assess and thus avoid investing in China altogether; and they should not base risk assessments on anecdotal evidence from employees who have limited experience in the country.</w:t>
      </w:r>
    </w:p>
    <w:p w:rsidR="004217D2" w:rsidRDefault="004217D2" w:rsidP="004217D2">
      <w:pPr>
        <w:pStyle w:val="NormalWeb"/>
      </w:pPr>
      <w:r>
        <w:lastRenderedPageBreak/>
        <w:t xml:space="preserve">With these “Thou </w:t>
      </w:r>
      <w:proofErr w:type="spellStart"/>
      <w:r>
        <w:t>shalt</w:t>
      </w:r>
      <w:proofErr w:type="spellEnd"/>
      <w:r>
        <w:t xml:space="preserve"> </w:t>
      </w:r>
      <w:proofErr w:type="spellStart"/>
      <w:r>
        <w:t>nots</w:t>
      </w:r>
      <w:proofErr w:type="spellEnd"/>
      <w:r>
        <w:t>” in mind, foreign firms in China should employ several hedging strategies.</w:t>
      </w:r>
    </w:p>
    <w:p w:rsidR="004217D2" w:rsidRDefault="004217D2" w:rsidP="004217D2">
      <w:pPr>
        <w:pStyle w:val="NormalWeb"/>
      </w:pPr>
      <w:r>
        <w:t>First, they should work with their home governments to press the Chinese government to honor its commitment to open markets, institute basic economic rules of the road, enforce those rules it does have, and protect intellectual property rights. China remains a transitional economy with many aspects that are not transparent, fair, or even legal under the World Trade Organization’s rules. Currying favor with the Chinese government by ignoring these issues is a short-term strategy that will eventually undermine foreign firms.</w:t>
      </w:r>
    </w:p>
    <w:p w:rsidR="004217D2" w:rsidRDefault="004217D2" w:rsidP="004217D2">
      <w:pPr>
        <w:pStyle w:val="NormalWeb"/>
      </w:pPr>
      <w:r>
        <w:t>Second, to minimize reputational risks at home, foreign companies should establish and firmly adhere to corporate responsibility standards. Their leaders should be clear with the Chinese government (and within their own boardrooms) on what they will and will not accept as the price of admission to China’s marketplace.</w:t>
      </w:r>
    </w:p>
    <w:p w:rsidR="004217D2" w:rsidRDefault="004217D2" w:rsidP="004217D2">
      <w:pPr>
        <w:pStyle w:val="NormalWeb"/>
      </w:pPr>
      <w:r>
        <w:t xml:space="preserve">To continue reading, </w:t>
      </w:r>
      <w:hyperlink r:id="rId9" w:history="1">
        <w:r>
          <w:rPr>
            <w:rStyle w:val="Hyperlink"/>
          </w:rPr>
          <w:t>register now</w:t>
        </w:r>
      </w:hyperlink>
      <w:r>
        <w:t xml:space="preserve"> or </w:t>
      </w:r>
      <w:hyperlink r:id="rId10" w:history="1">
        <w:r>
          <w:rPr>
            <w:rStyle w:val="Hyperlink"/>
          </w:rPr>
          <w:t>purchase</w:t>
        </w:r>
      </w:hyperlink>
      <w:r>
        <w:t xml:space="preserve"> a single copy PDF.</w:t>
      </w:r>
    </w:p>
    <w:p w:rsidR="004217D2" w:rsidRDefault="004217D2" w:rsidP="004217D2">
      <w:pPr>
        <w:pStyle w:val="NormalWeb"/>
      </w:pPr>
      <w:r>
        <w:t xml:space="preserve">Become a </w:t>
      </w:r>
      <w:hyperlink r:id="rId11" w:history="1">
        <w:r>
          <w:rPr>
            <w:rStyle w:val="Hyperlink"/>
          </w:rPr>
          <w:t>paid subscriber</w:t>
        </w:r>
      </w:hyperlink>
      <w:r>
        <w:t xml:space="preserve"> for full uninterrupted access.</w:t>
      </w:r>
    </w:p>
    <w:p w:rsidR="004217D2" w:rsidRDefault="004217D2" w:rsidP="004217D2">
      <w:pPr>
        <w:pStyle w:val="NormalWeb"/>
      </w:pPr>
      <w:proofErr w:type="gramStart"/>
      <w:r>
        <w:t>Already an HBR subscriber?</w:t>
      </w:r>
      <w:proofErr w:type="gramEnd"/>
      <w:r>
        <w:t xml:space="preserve"> </w:t>
      </w:r>
      <w:hyperlink r:id="rId12" w:history="1">
        <w:r>
          <w:rPr>
            <w:rStyle w:val="Hyperlink"/>
          </w:rPr>
          <w:t>Register</w:t>
        </w:r>
      </w:hyperlink>
      <w:r>
        <w:t xml:space="preserve"> with your account number for FREE access.</w:t>
      </w:r>
    </w:p>
    <w:p w:rsidR="00802A41" w:rsidRDefault="00802A41">
      <w:pPr>
        <w:rPr>
          <w:rFonts w:hint="cs"/>
        </w:rPr>
      </w:pPr>
    </w:p>
    <w:sectPr w:rsidR="00802A41" w:rsidSect="000A145B">
      <w:pgSz w:w="11906" w:h="16838" w:code="9"/>
      <w:pgMar w:top="1418" w:right="1418" w:bottom="1418" w:left="1418"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B63F3"/>
    <w:multiLevelType w:val="multilevel"/>
    <w:tmpl w:val="57BA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8273F7"/>
    <w:multiLevelType w:val="multilevel"/>
    <w:tmpl w:val="034A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rsids>
    <w:rsidRoot w:val="004217D2"/>
    <w:rsid w:val="000A145B"/>
    <w:rsid w:val="002248FD"/>
    <w:rsid w:val="00377C62"/>
    <w:rsid w:val="003F189B"/>
    <w:rsid w:val="004217D2"/>
    <w:rsid w:val="004710F8"/>
    <w:rsid w:val="004C104A"/>
    <w:rsid w:val="00802A41"/>
    <w:rsid w:val="00892BAB"/>
    <w:rsid w:val="00971CB9"/>
    <w:rsid w:val="00EC7532"/>
    <w:rsid w:val="00F245C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A41"/>
    <w:pPr>
      <w:bidi/>
    </w:pPr>
  </w:style>
  <w:style w:type="paragraph" w:styleId="Heading2">
    <w:name w:val="heading 2"/>
    <w:basedOn w:val="Normal"/>
    <w:link w:val="Heading2Char"/>
    <w:uiPriority w:val="9"/>
    <w:qFormat/>
    <w:rsid w:val="004217D2"/>
    <w:pPr>
      <w:bidi w:val="0"/>
      <w:spacing w:before="100" w:beforeAutospacing="1" w:after="100" w:afterAutospacing="1" w:line="240" w:lineRule="auto"/>
      <w:jc w:val="left"/>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217D2"/>
    <w:pPr>
      <w:bidi w:val="0"/>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17D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217D2"/>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4217D2"/>
    <w:rPr>
      <w:color w:val="0000FF"/>
      <w:u w:val="single"/>
    </w:rPr>
  </w:style>
  <w:style w:type="paragraph" w:styleId="NormalWeb">
    <w:name w:val="Normal (Web)"/>
    <w:basedOn w:val="Normal"/>
    <w:uiPriority w:val="99"/>
    <w:semiHidden/>
    <w:unhideWhenUsed/>
    <w:rsid w:val="004217D2"/>
    <w:pPr>
      <w:bidi w:val="0"/>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head">
    <w:name w:val="ahead"/>
    <w:basedOn w:val="DefaultParagraphFont"/>
    <w:rsid w:val="004217D2"/>
  </w:style>
  <w:style w:type="character" w:customStyle="1" w:styleId="bodyitalic">
    <w:name w:val="bodyitalic"/>
    <w:basedOn w:val="DefaultParagraphFont"/>
    <w:rsid w:val="004217D2"/>
  </w:style>
  <w:style w:type="paragraph" w:styleId="BalloonText">
    <w:name w:val="Balloon Text"/>
    <w:basedOn w:val="Normal"/>
    <w:link w:val="BalloonTextChar"/>
    <w:uiPriority w:val="99"/>
    <w:semiHidden/>
    <w:unhideWhenUsed/>
    <w:rsid w:val="004217D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7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6543329">
      <w:bodyDiv w:val="1"/>
      <w:marLeft w:val="0"/>
      <w:marRight w:val="0"/>
      <w:marTop w:val="0"/>
      <w:marBottom w:val="0"/>
      <w:divBdr>
        <w:top w:val="none" w:sz="0" w:space="0" w:color="auto"/>
        <w:left w:val="none" w:sz="0" w:space="0" w:color="auto"/>
        <w:bottom w:val="none" w:sz="0" w:space="0" w:color="auto"/>
        <w:right w:val="none" w:sz="0" w:space="0" w:color="auto"/>
      </w:divBdr>
      <w:divsChild>
        <w:div w:id="2054647550">
          <w:marLeft w:val="0"/>
          <w:marRight w:val="0"/>
          <w:marTop w:val="0"/>
          <w:marBottom w:val="0"/>
          <w:divBdr>
            <w:top w:val="none" w:sz="0" w:space="0" w:color="auto"/>
            <w:left w:val="none" w:sz="0" w:space="0" w:color="auto"/>
            <w:bottom w:val="none" w:sz="0" w:space="0" w:color="auto"/>
            <w:right w:val="none" w:sz="0" w:space="0" w:color="auto"/>
          </w:divBdr>
          <w:divsChild>
            <w:div w:id="1108961910">
              <w:marLeft w:val="0"/>
              <w:marRight w:val="0"/>
              <w:marTop w:val="0"/>
              <w:marBottom w:val="0"/>
              <w:divBdr>
                <w:top w:val="none" w:sz="0" w:space="0" w:color="auto"/>
                <w:left w:val="none" w:sz="0" w:space="0" w:color="auto"/>
                <w:bottom w:val="none" w:sz="0" w:space="0" w:color="auto"/>
                <w:right w:val="none" w:sz="0" w:space="0" w:color="auto"/>
              </w:divBdr>
              <w:divsChild>
                <w:div w:id="1568765869">
                  <w:marLeft w:val="0"/>
                  <w:marRight w:val="0"/>
                  <w:marTop w:val="0"/>
                  <w:marBottom w:val="0"/>
                  <w:divBdr>
                    <w:top w:val="none" w:sz="0" w:space="0" w:color="auto"/>
                    <w:left w:val="none" w:sz="0" w:space="0" w:color="auto"/>
                    <w:bottom w:val="none" w:sz="0" w:space="0" w:color="auto"/>
                    <w:right w:val="none" w:sz="0" w:space="0" w:color="auto"/>
                  </w:divBdr>
                  <w:divsChild>
                    <w:div w:id="206343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4938">
              <w:marLeft w:val="0"/>
              <w:marRight w:val="0"/>
              <w:marTop w:val="0"/>
              <w:marBottom w:val="0"/>
              <w:divBdr>
                <w:top w:val="none" w:sz="0" w:space="0" w:color="auto"/>
                <w:left w:val="none" w:sz="0" w:space="0" w:color="auto"/>
                <w:bottom w:val="none" w:sz="0" w:space="0" w:color="auto"/>
                <w:right w:val="none" w:sz="0" w:space="0" w:color="auto"/>
              </w:divBdr>
              <w:divsChild>
                <w:div w:id="1218317029">
                  <w:marLeft w:val="0"/>
                  <w:marRight w:val="0"/>
                  <w:marTop w:val="0"/>
                  <w:marBottom w:val="0"/>
                  <w:divBdr>
                    <w:top w:val="none" w:sz="0" w:space="0" w:color="auto"/>
                    <w:left w:val="none" w:sz="0" w:space="0" w:color="auto"/>
                    <w:bottom w:val="none" w:sz="0" w:space="0" w:color="auto"/>
                    <w:right w:val="none" w:sz="0" w:space="0" w:color="auto"/>
                  </w:divBdr>
                  <w:divsChild>
                    <w:div w:id="2088917617">
                      <w:marLeft w:val="0"/>
                      <w:marRight w:val="0"/>
                      <w:marTop w:val="0"/>
                      <w:marBottom w:val="0"/>
                      <w:divBdr>
                        <w:top w:val="none" w:sz="0" w:space="0" w:color="auto"/>
                        <w:left w:val="none" w:sz="0" w:space="0" w:color="auto"/>
                        <w:bottom w:val="none" w:sz="0" w:space="0" w:color="auto"/>
                        <w:right w:val="none" w:sz="0" w:space="0" w:color="auto"/>
                      </w:divBdr>
                      <w:divsChild>
                        <w:div w:id="103617643">
                          <w:marLeft w:val="0"/>
                          <w:marRight w:val="0"/>
                          <w:marTop w:val="0"/>
                          <w:marBottom w:val="0"/>
                          <w:divBdr>
                            <w:top w:val="none" w:sz="0" w:space="0" w:color="auto"/>
                            <w:left w:val="none" w:sz="0" w:space="0" w:color="auto"/>
                            <w:bottom w:val="none" w:sz="0" w:space="0" w:color="auto"/>
                            <w:right w:val="none" w:sz="0" w:space="0" w:color="auto"/>
                          </w:divBdr>
                          <w:divsChild>
                            <w:div w:id="1786658430">
                              <w:marLeft w:val="0"/>
                              <w:marRight w:val="0"/>
                              <w:marTop w:val="0"/>
                              <w:marBottom w:val="0"/>
                              <w:divBdr>
                                <w:top w:val="none" w:sz="0" w:space="0" w:color="auto"/>
                                <w:left w:val="none" w:sz="0" w:space="0" w:color="auto"/>
                                <w:bottom w:val="none" w:sz="0" w:space="0" w:color="auto"/>
                                <w:right w:val="none" w:sz="0" w:space="0" w:color="auto"/>
                              </w:divBdr>
                            </w:div>
                          </w:divsChild>
                        </w:div>
                        <w:div w:id="1954284014">
                          <w:marLeft w:val="0"/>
                          <w:marRight w:val="0"/>
                          <w:marTop w:val="0"/>
                          <w:marBottom w:val="0"/>
                          <w:divBdr>
                            <w:top w:val="none" w:sz="0" w:space="0" w:color="auto"/>
                            <w:left w:val="none" w:sz="0" w:space="0" w:color="auto"/>
                            <w:bottom w:val="none" w:sz="0" w:space="0" w:color="auto"/>
                            <w:right w:val="none" w:sz="0" w:space="0" w:color="auto"/>
                          </w:divBdr>
                          <w:divsChild>
                            <w:div w:id="1822694361">
                              <w:marLeft w:val="0"/>
                              <w:marRight w:val="0"/>
                              <w:marTop w:val="0"/>
                              <w:marBottom w:val="0"/>
                              <w:divBdr>
                                <w:top w:val="none" w:sz="0" w:space="0" w:color="auto"/>
                                <w:left w:val="none" w:sz="0" w:space="0" w:color="auto"/>
                                <w:bottom w:val="none" w:sz="0" w:space="0" w:color="auto"/>
                                <w:right w:val="none" w:sz="0" w:space="0" w:color="auto"/>
                              </w:divBdr>
                            </w:div>
                          </w:divsChild>
                        </w:div>
                        <w:div w:id="832835597">
                          <w:marLeft w:val="0"/>
                          <w:marRight w:val="0"/>
                          <w:marTop w:val="0"/>
                          <w:marBottom w:val="0"/>
                          <w:divBdr>
                            <w:top w:val="none" w:sz="0" w:space="0" w:color="auto"/>
                            <w:left w:val="none" w:sz="0" w:space="0" w:color="auto"/>
                            <w:bottom w:val="none" w:sz="0" w:space="0" w:color="auto"/>
                            <w:right w:val="none" w:sz="0" w:space="0" w:color="auto"/>
                          </w:divBdr>
                          <w:divsChild>
                            <w:div w:id="561986128">
                              <w:marLeft w:val="0"/>
                              <w:marRight w:val="0"/>
                              <w:marTop w:val="0"/>
                              <w:marBottom w:val="0"/>
                              <w:divBdr>
                                <w:top w:val="none" w:sz="0" w:space="0" w:color="auto"/>
                                <w:left w:val="none" w:sz="0" w:space="0" w:color="auto"/>
                                <w:bottom w:val="none" w:sz="0" w:space="0" w:color="auto"/>
                                <w:right w:val="none" w:sz="0" w:space="0" w:color="auto"/>
                              </w:divBdr>
                            </w:div>
                          </w:divsChild>
                        </w:div>
                        <w:div w:id="2026469634">
                          <w:marLeft w:val="0"/>
                          <w:marRight w:val="0"/>
                          <w:marTop w:val="0"/>
                          <w:marBottom w:val="0"/>
                          <w:divBdr>
                            <w:top w:val="none" w:sz="0" w:space="0" w:color="auto"/>
                            <w:left w:val="none" w:sz="0" w:space="0" w:color="auto"/>
                            <w:bottom w:val="none" w:sz="0" w:space="0" w:color="auto"/>
                            <w:right w:val="none" w:sz="0" w:space="0" w:color="auto"/>
                          </w:divBdr>
                          <w:divsChild>
                            <w:div w:id="162215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705710">
          <w:marLeft w:val="0"/>
          <w:marRight w:val="0"/>
          <w:marTop w:val="0"/>
          <w:marBottom w:val="0"/>
          <w:divBdr>
            <w:top w:val="none" w:sz="0" w:space="0" w:color="auto"/>
            <w:left w:val="none" w:sz="0" w:space="0" w:color="auto"/>
            <w:bottom w:val="none" w:sz="0" w:space="0" w:color="auto"/>
            <w:right w:val="none" w:sz="0" w:space="0" w:color="auto"/>
          </w:divBdr>
          <w:divsChild>
            <w:div w:id="1878614945">
              <w:marLeft w:val="0"/>
              <w:marRight w:val="0"/>
              <w:marTop w:val="0"/>
              <w:marBottom w:val="0"/>
              <w:divBdr>
                <w:top w:val="none" w:sz="0" w:space="0" w:color="auto"/>
                <w:left w:val="none" w:sz="0" w:space="0" w:color="auto"/>
                <w:bottom w:val="none" w:sz="0" w:space="0" w:color="auto"/>
                <w:right w:val="none" w:sz="0" w:space="0" w:color="auto"/>
              </w:divBdr>
              <w:divsChild>
                <w:div w:id="1021005308">
                  <w:marLeft w:val="0"/>
                  <w:marRight w:val="0"/>
                  <w:marTop w:val="0"/>
                  <w:marBottom w:val="0"/>
                  <w:divBdr>
                    <w:top w:val="none" w:sz="0" w:space="0" w:color="auto"/>
                    <w:left w:val="none" w:sz="0" w:space="0" w:color="auto"/>
                    <w:bottom w:val="none" w:sz="0" w:space="0" w:color="auto"/>
                    <w:right w:val="none" w:sz="0" w:space="0" w:color="auto"/>
                  </w:divBdr>
                  <w:divsChild>
                    <w:div w:id="578290099">
                      <w:marLeft w:val="0"/>
                      <w:marRight w:val="0"/>
                      <w:marTop w:val="0"/>
                      <w:marBottom w:val="0"/>
                      <w:divBdr>
                        <w:top w:val="none" w:sz="0" w:space="0" w:color="auto"/>
                        <w:left w:val="none" w:sz="0" w:space="0" w:color="auto"/>
                        <w:bottom w:val="none" w:sz="0" w:space="0" w:color="auto"/>
                        <w:right w:val="none" w:sz="0" w:space="0" w:color="auto"/>
                      </w:divBdr>
                    </w:div>
                  </w:divsChild>
                </w:div>
                <w:div w:id="1025407675">
                  <w:marLeft w:val="0"/>
                  <w:marRight w:val="0"/>
                  <w:marTop w:val="0"/>
                  <w:marBottom w:val="0"/>
                  <w:divBdr>
                    <w:top w:val="none" w:sz="0" w:space="0" w:color="auto"/>
                    <w:left w:val="none" w:sz="0" w:space="0" w:color="auto"/>
                    <w:bottom w:val="none" w:sz="0" w:space="0" w:color="auto"/>
                    <w:right w:val="none" w:sz="0" w:space="0" w:color="auto"/>
                  </w:divBdr>
                  <w:divsChild>
                    <w:div w:id="1228346825">
                      <w:marLeft w:val="0"/>
                      <w:marRight w:val="0"/>
                      <w:marTop w:val="0"/>
                      <w:marBottom w:val="0"/>
                      <w:divBdr>
                        <w:top w:val="none" w:sz="0" w:space="0" w:color="auto"/>
                        <w:left w:val="none" w:sz="0" w:space="0" w:color="auto"/>
                        <w:bottom w:val="none" w:sz="0" w:space="0" w:color="auto"/>
                        <w:right w:val="none" w:sz="0" w:space="0" w:color="auto"/>
                      </w:divBdr>
                    </w:div>
                  </w:divsChild>
                </w:div>
                <w:div w:id="44725199">
                  <w:marLeft w:val="0"/>
                  <w:marRight w:val="0"/>
                  <w:marTop w:val="0"/>
                  <w:marBottom w:val="0"/>
                  <w:divBdr>
                    <w:top w:val="none" w:sz="0" w:space="0" w:color="auto"/>
                    <w:left w:val="none" w:sz="0" w:space="0" w:color="auto"/>
                    <w:bottom w:val="none" w:sz="0" w:space="0" w:color="auto"/>
                    <w:right w:val="none" w:sz="0" w:space="0" w:color="auto"/>
                  </w:divBdr>
                  <w:divsChild>
                    <w:div w:id="179949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7153">
          <w:marLeft w:val="0"/>
          <w:marRight w:val="0"/>
          <w:marTop w:val="0"/>
          <w:marBottom w:val="0"/>
          <w:divBdr>
            <w:top w:val="none" w:sz="0" w:space="0" w:color="auto"/>
            <w:left w:val="none" w:sz="0" w:space="0" w:color="auto"/>
            <w:bottom w:val="none" w:sz="0" w:space="0" w:color="auto"/>
            <w:right w:val="none" w:sz="0" w:space="0" w:color="auto"/>
          </w:divBdr>
          <w:divsChild>
            <w:div w:id="725489366">
              <w:marLeft w:val="0"/>
              <w:marRight w:val="0"/>
              <w:marTop w:val="0"/>
              <w:marBottom w:val="0"/>
              <w:divBdr>
                <w:top w:val="none" w:sz="0" w:space="0" w:color="auto"/>
                <w:left w:val="none" w:sz="0" w:space="0" w:color="auto"/>
                <w:bottom w:val="none" w:sz="0" w:space="0" w:color="auto"/>
                <w:right w:val="none" w:sz="0" w:space="0" w:color="auto"/>
              </w:divBdr>
              <w:divsChild>
                <w:div w:id="65676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7437">
          <w:marLeft w:val="0"/>
          <w:marRight w:val="0"/>
          <w:marTop w:val="0"/>
          <w:marBottom w:val="0"/>
          <w:divBdr>
            <w:top w:val="none" w:sz="0" w:space="0" w:color="auto"/>
            <w:left w:val="none" w:sz="0" w:space="0" w:color="auto"/>
            <w:bottom w:val="none" w:sz="0" w:space="0" w:color="auto"/>
            <w:right w:val="none" w:sz="0" w:space="0" w:color="auto"/>
          </w:divBdr>
          <w:divsChild>
            <w:div w:id="1074622545">
              <w:marLeft w:val="0"/>
              <w:marRight w:val="0"/>
              <w:marTop w:val="0"/>
              <w:marBottom w:val="0"/>
              <w:divBdr>
                <w:top w:val="none" w:sz="0" w:space="0" w:color="auto"/>
                <w:left w:val="none" w:sz="0" w:space="0" w:color="auto"/>
                <w:bottom w:val="none" w:sz="0" w:space="0" w:color="auto"/>
                <w:right w:val="none" w:sz="0" w:space="0" w:color="auto"/>
              </w:divBdr>
              <w:divsChild>
                <w:div w:id="1650787086">
                  <w:marLeft w:val="0"/>
                  <w:marRight w:val="0"/>
                  <w:marTop w:val="0"/>
                  <w:marBottom w:val="0"/>
                  <w:divBdr>
                    <w:top w:val="none" w:sz="0" w:space="0" w:color="auto"/>
                    <w:left w:val="none" w:sz="0" w:space="0" w:color="auto"/>
                    <w:bottom w:val="none" w:sz="0" w:space="0" w:color="auto"/>
                    <w:right w:val="none" w:sz="0" w:space="0" w:color="auto"/>
                  </w:divBdr>
                  <w:divsChild>
                    <w:div w:id="59312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br.org/2006/11/hedging-political-risk-in-china/ar/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showSummary();" TargetMode="External"/><Relationship Id="rId12" Type="http://schemas.openxmlformats.org/officeDocument/2006/relationships/hyperlink" Target="http://hbr.org/activate?request_url=/2006/11/hedging-political-risk-in-china/ar/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br.org/search/Fareed%20Zakaria/0/author" TargetMode="External"/><Relationship Id="rId11" Type="http://schemas.openxmlformats.org/officeDocument/2006/relationships/hyperlink" Target="http://hbr.org/login?request_url=/2006/11/hedging-political-risk-in-china/ar/1" TargetMode="External"/><Relationship Id="rId5" Type="http://schemas.openxmlformats.org/officeDocument/2006/relationships/hyperlink" Target="http://hbr.org/search/Ian%20Bremmer/0/author" TargetMode="External"/><Relationship Id="rId10" Type="http://schemas.openxmlformats.org/officeDocument/2006/relationships/hyperlink" Target="http://hbr.org/2006/11/hedging-political-risk-in-china/ar/1" TargetMode="External"/><Relationship Id="rId4" Type="http://schemas.openxmlformats.org/officeDocument/2006/relationships/webSettings" Target="webSettings.xml"/><Relationship Id="rId9" Type="http://schemas.openxmlformats.org/officeDocument/2006/relationships/hyperlink" Target="http://hbr.org/register?request_url=/2006/11/hedging-political-risk-in-china/ar/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716</Words>
  <Characters>4084</Characters>
  <Application>Microsoft Office Word</Application>
  <DocSecurity>0</DocSecurity>
  <Lines>34</Lines>
  <Paragraphs>9</Paragraphs>
  <ScaleCrop>false</ScaleCrop>
  <Company>PARANDCO</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PARAND</cp:lastModifiedBy>
  <cp:revision>1</cp:revision>
  <dcterms:created xsi:type="dcterms:W3CDTF">2013-12-09T12:06:00Z</dcterms:created>
  <dcterms:modified xsi:type="dcterms:W3CDTF">2013-12-09T12:07:00Z</dcterms:modified>
</cp:coreProperties>
</file>